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8868"/>
      </w:tblGrid>
      <w:tr w:rsidR="00B47D5B" w:rsidRPr="00286309" w:rsidTr="00823060">
        <w:trPr>
          <w:jc w:val="center"/>
        </w:trPr>
        <w:tc>
          <w:tcPr>
            <w:tcW w:w="4310" w:type="dxa"/>
            <w:vAlign w:val="center"/>
          </w:tcPr>
          <w:p w:rsidR="00B47D5B" w:rsidRPr="00286309" w:rsidRDefault="008A73C1" w:rsidP="00B022A8">
            <w:pPr>
              <w:ind w:left="-8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2993" cy="2609053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4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008" cy="260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8" w:type="dxa"/>
          </w:tcPr>
          <w:p w:rsidR="00B47D5B" w:rsidRPr="00AF792C" w:rsidRDefault="00DB2B07" w:rsidP="00B90A80">
            <w:pPr>
              <w:ind w:left="-81" w:firstLine="4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47D5B" w:rsidRPr="00286309">
              <w:rPr>
                <w:rFonts w:ascii="Times New Roman" w:hAnsi="Times New Roman" w:cs="Times New Roman"/>
                <w:b/>
                <w:sz w:val="24"/>
                <w:szCs w:val="24"/>
              </w:rPr>
              <w:t>гровой комплекс</w:t>
            </w:r>
            <w:r w:rsidR="00B0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5971">
              <w:rPr>
                <w:rFonts w:ascii="Times New Roman" w:hAnsi="Times New Roman" w:cs="Times New Roman"/>
                <w:b/>
                <w:sz w:val="24"/>
                <w:szCs w:val="24"/>
              </w:rPr>
              <w:t>0944</w:t>
            </w:r>
          </w:p>
          <w:p w:rsidR="00B47D5B" w:rsidRDefault="00B022A8" w:rsidP="00B90A80">
            <w:pPr>
              <w:ind w:left="-81"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B47D5B" w:rsidRPr="00286309">
              <w:rPr>
                <w:rFonts w:ascii="Times New Roman" w:hAnsi="Times New Roman" w:cs="Times New Roman"/>
                <w:sz w:val="24"/>
                <w:szCs w:val="24"/>
              </w:rPr>
              <w:t>не менее: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длина - 4</w:t>
            </w:r>
            <w:r w:rsidR="009C63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D5B" w:rsidRPr="00286309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9B56F8">
              <w:rPr>
                <w:rFonts w:ascii="Times New Roman" w:hAnsi="Times New Roman" w:cs="Times New Roman"/>
                <w:sz w:val="24"/>
                <w:szCs w:val="24"/>
              </w:rPr>
              <w:t>, ширина - 2</w:t>
            </w:r>
            <w:r w:rsidR="00803F9E" w:rsidRPr="00803F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D5B" w:rsidRPr="00286309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B47D5B" w:rsidRPr="00286309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060" w:rsidRPr="00411432" w:rsidRDefault="00411432" w:rsidP="00B90A80">
            <w:pPr>
              <w:ind w:left="-81"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32">
              <w:rPr>
                <w:rFonts w:ascii="Times New Roman" w:hAnsi="Times New Roman" w:cs="Times New Roman"/>
                <w:sz w:val="24"/>
                <w:szCs w:val="24"/>
              </w:rPr>
              <w:t>Комплекс представляет собой форму автомобиля с кабиной,</w:t>
            </w:r>
            <w:r w:rsidR="00973E75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спортивного элемента. Должен состоять</w:t>
            </w:r>
            <w:r w:rsidRPr="00411432">
              <w:rPr>
                <w:rFonts w:ascii="Times New Roman" w:hAnsi="Times New Roman" w:cs="Times New Roman"/>
                <w:sz w:val="24"/>
                <w:szCs w:val="24"/>
              </w:rPr>
              <w:t xml:space="preserve"> из:</w:t>
            </w:r>
          </w:p>
          <w:p w:rsidR="009C6376" w:rsidRDefault="00411432" w:rsidP="00B90A80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3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должна иметь габаритные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1370 мм, 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1390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="009C6376"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более 6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C6376"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9C6376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9C6376"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9C637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B90A80" w:rsidRDefault="00B90A80" w:rsidP="00B90A80">
            <w:pPr>
              <w:tabs>
                <w:tab w:val="left" w:pos="1530"/>
              </w:tabs>
              <w:ind w:firstLine="4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площадка с горкой, размеры не менее: длина – 1000 мм, ширина – 900 мм. 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составляет не менее 600 мм, и не более 650 мм. Площадка должна иметь один вход, выполненный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перекладины из металлической трубы, диаметром не менее 26,8 мм.</w:t>
            </w:r>
            <w:r w:rsidRPr="00411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>Ограждение, имеет размеры не менее: ширина – 950 мм, высота – 720 мм,  изготовлено из в</w:t>
            </w:r>
            <w:r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90A80" w:rsidRDefault="00B90A80" w:rsidP="00B90A80">
            <w:pPr>
              <w:ind w:firstLine="4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площадка в виде «кабины», размеры не менее: длина – 1000 мм, ширина – 1000 мм, высота – 1750 мм, выполнена из </w:t>
            </w:r>
            <w:r w:rsidRPr="00F36A60">
              <w:rPr>
                <w:rFonts w:ascii="Times New Roman" w:hAnsi="Times New Roman"/>
                <w:sz w:val="24"/>
                <w:szCs w:val="24"/>
              </w:rPr>
              <w:t xml:space="preserve">березовой </w:t>
            </w:r>
            <w:r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Pr="00F36A60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>, имеет декоративные элементы, в виде колес, фары,  решетки радиатора</w:t>
            </w:r>
            <w:r w:rsidR="0013769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137699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F36A60">
              <w:rPr>
                <w:rFonts w:ascii="Times New Roman" w:hAnsi="Times New Roman"/>
                <w:sz w:val="24"/>
                <w:szCs w:val="24"/>
              </w:rPr>
              <w:t xml:space="preserve">березовой </w:t>
            </w:r>
            <w:r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Pr="00F36A60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36A60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>
              <w:rPr>
                <w:rFonts w:ascii="Times New Roman" w:hAnsi="Times New Roman"/>
                <w:sz w:val="24"/>
                <w:szCs w:val="24"/>
              </w:rPr>
              <w:t>составляет не менее 600 мм, и не более 6</w:t>
            </w:r>
            <w:r w:rsidR="00453A8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B90A80" w:rsidRDefault="00B90A80" w:rsidP="00B90A80">
            <w:pPr>
              <w:ind w:firstLine="4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сиденье, размеры не менее: длина – 990 мм, ширина – 240 мм, изготовлено из водостойкой фанеры, толщиной не менее 18 мм.</w:t>
            </w:r>
          </w:p>
          <w:p w:rsidR="00411432" w:rsidRDefault="00411432" w:rsidP="00B90A80">
            <w:pPr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рукоход, размеры не менее: длина – </w:t>
            </w:r>
            <w:r w:rsidR="00CF6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93784" w:rsidRPr="00B6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Pr="00B6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ширина –</w:t>
            </w:r>
            <w:r w:rsidR="00193784" w:rsidRPr="00B6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193784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 изготовлен из металличе</w:t>
            </w:r>
            <w:r w:rsidR="00CF6A32">
              <w:rPr>
                <w:rFonts w:ascii="Times New Roman" w:hAnsi="Times New Roman" w:cs="Times New Roman"/>
                <w:sz w:val="24"/>
                <w:szCs w:val="24"/>
              </w:rPr>
              <w:t xml:space="preserve">ской трубы </w:t>
            </w:r>
            <w:proofErr w:type="gramStart"/>
            <w:r w:rsidR="00CF6A32">
              <w:rPr>
                <w:rFonts w:ascii="Times New Roman" w:hAnsi="Times New Roman" w:cs="Times New Roman"/>
                <w:sz w:val="24"/>
                <w:szCs w:val="24"/>
              </w:rPr>
              <w:t xml:space="preserve">диаметром </w:t>
            </w:r>
            <w:r w:rsidR="00453A85" w:rsidRPr="00066366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&gt;</w:t>
            </w:r>
            <w:proofErr w:type="gramEnd"/>
            <w:r w:rsidR="00453A85" w:rsidRPr="00066366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53A85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CF6A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53A8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:rsidR="00823060" w:rsidRPr="00204D63" w:rsidRDefault="00411432" w:rsidP="00B90A80">
            <w:pPr>
              <w:ind w:firstLine="49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6A32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сетка для лазания, размеры не менее: длина – </w:t>
            </w:r>
            <w:r w:rsidR="00CF6A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3784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 высота –</w:t>
            </w:r>
            <w:r w:rsidR="00193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93E" w:rsidRPr="001609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0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93E" w:rsidRPr="001609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3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мм, изготовленная </w:t>
            </w:r>
            <w:r w:rsidRPr="00411432">
              <w:rPr>
                <w:rFonts w:ascii="Times New Roman" w:hAnsi="Times New Roman" w:cs="Times New Roman"/>
                <w:sz w:val="24"/>
                <w:szCs w:val="24"/>
              </w:rPr>
              <w:t>из пропиленового каната</w:t>
            </w:r>
            <w:r w:rsidR="008230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3060" w:rsidRPr="00823060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не менее 16 мм, со стальным/полипропиленовым сердечником, перекрестия канатов зафиксированы </w:t>
            </w:r>
            <w:r w:rsidR="00823060" w:rsidRPr="00823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мультифиламентным полипропиленом, стабилизированным про</w:t>
            </w:r>
            <w:r w:rsidR="00B90A80">
              <w:rPr>
                <w:rFonts w:ascii="Times New Roman" w:hAnsi="Times New Roman" w:cs="Times New Roman"/>
                <w:sz w:val="24"/>
                <w:szCs w:val="24"/>
              </w:rPr>
              <w:t>тив ультрафиолетового излучения;</w:t>
            </w:r>
            <w:r w:rsidR="00823060" w:rsidRPr="0082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A80" w:rsidRDefault="00411432" w:rsidP="00B90A80">
            <w:pPr>
              <w:tabs>
                <w:tab w:val="left" w:pos="1530"/>
              </w:tabs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0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0A80" w:rsidRPr="00C54F1F">
              <w:rPr>
                <w:rFonts w:ascii="Times New Roman" w:hAnsi="Times New Roman" w:cs="Times New Roman"/>
                <w:sz w:val="24"/>
                <w:szCs w:val="24"/>
              </w:rPr>
              <w:t>одъем</w:t>
            </w:r>
            <w:r w:rsidR="00B90A80">
              <w:rPr>
                <w:rFonts w:ascii="Times New Roman" w:hAnsi="Times New Roman" w:cs="Times New Roman"/>
                <w:sz w:val="24"/>
                <w:szCs w:val="24"/>
              </w:rPr>
              <w:t xml:space="preserve"> по дугам</w:t>
            </w:r>
            <w:r w:rsidR="00B90A80" w:rsidRPr="00C54F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0A80">
              <w:rPr>
                <w:rFonts w:ascii="Times New Roman" w:hAnsi="Times New Roman" w:cs="Times New Roman"/>
                <w:sz w:val="24"/>
                <w:szCs w:val="24"/>
              </w:rPr>
              <w:t xml:space="preserve">имеет габаритные размеры не менее: длина – 930 мм, ширина – 710 мм, высота – 1860 мм, </w:t>
            </w:r>
            <w:r w:rsidR="00B90A80" w:rsidRPr="00C54F1F">
              <w:rPr>
                <w:rFonts w:ascii="Times New Roman" w:hAnsi="Times New Roman" w:cs="Times New Roman"/>
                <w:sz w:val="24"/>
                <w:szCs w:val="24"/>
              </w:rPr>
              <w:t xml:space="preserve">который выполнен в виде двух вертикальных стоек, изготовленных из металлической трубы, диаметром не менее 33,5 мм, и </w:t>
            </w:r>
            <w:r w:rsidR="00B90A80">
              <w:rPr>
                <w:rFonts w:ascii="Times New Roman" w:hAnsi="Times New Roman" w:cs="Times New Roman"/>
                <w:sz w:val="24"/>
                <w:szCs w:val="24"/>
              </w:rPr>
              <w:t>перекладин</w:t>
            </w:r>
            <w:r w:rsidR="00B90A80" w:rsidRPr="00C54F1F">
              <w:rPr>
                <w:rFonts w:ascii="Times New Roman" w:hAnsi="Times New Roman" w:cs="Times New Roman"/>
                <w:sz w:val="24"/>
                <w:szCs w:val="24"/>
              </w:rPr>
              <w:t>, в виде полуколец, изготовленный из металлической труб</w:t>
            </w:r>
            <w:r w:rsidR="00B90A80">
              <w:rPr>
                <w:rFonts w:ascii="Times New Roman" w:hAnsi="Times New Roman" w:cs="Times New Roman"/>
                <w:sz w:val="24"/>
                <w:szCs w:val="24"/>
              </w:rPr>
              <w:t>ы, диаметром не менее 26,8 мм;</w:t>
            </w:r>
          </w:p>
          <w:p w:rsidR="00B90A80" w:rsidRPr="00C54F1F" w:rsidRDefault="00B90A80" w:rsidP="00B90A80">
            <w:pPr>
              <w:tabs>
                <w:tab w:val="left" w:pos="1530"/>
              </w:tabs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канат длиной не менее 1800 мм, от уровня земли.</w:t>
            </w:r>
          </w:p>
          <w:p w:rsidR="00D568BB" w:rsidRDefault="00B90A80" w:rsidP="00D568BB">
            <w:pPr>
              <w:ind w:left="-81"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Пол площадок должен быть изготовлен из ламинированной нескользящей фанеры, толщиной не менее 18 мм.</w:t>
            </w:r>
            <w:r w:rsidR="00D568BB">
              <w:rPr>
                <w:rFonts w:ascii="Times New Roman" w:hAnsi="Times New Roman" w:cs="Times New Roman"/>
                <w:sz w:val="24"/>
                <w:szCs w:val="24"/>
              </w:rPr>
              <w:t>, и не более 20 мм.</w:t>
            </w:r>
            <w:bookmarkStart w:id="0" w:name="_GoBack"/>
            <w:bookmarkEnd w:id="0"/>
          </w:p>
          <w:p w:rsidR="00453A85" w:rsidRPr="00557EBB" w:rsidRDefault="00453A85" w:rsidP="00D568BB">
            <w:pPr>
              <w:ind w:left="-81"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BB">
              <w:rPr>
                <w:rFonts w:ascii="Times New Roman" w:hAnsi="Times New Roman" w:cs="Times New Roman"/>
                <w:sz w:val="24"/>
                <w:szCs w:val="24"/>
              </w:rPr>
              <w:t>Используемая фанера должна быть водостойкой фанерой марки ФСФ, из лиственных пород,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57EBB">
              <w:rPr>
                <w:rFonts w:ascii="Times New Roman" w:hAnsi="Times New Roman" w:cs="Times New Roman"/>
                <w:sz w:val="24"/>
                <w:szCs w:val="24"/>
              </w:rPr>
              <w:t>на соответствовать ГОСТ 3916.1-96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Слойность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фанеры не менее 12 мм., и не более 15. </w:t>
            </w:r>
          </w:p>
          <w:p w:rsidR="00B90A80" w:rsidRPr="00B90A80" w:rsidRDefault="00B90A80" w:rsidP="00B90A80">
            <w:pPr>
              <w:ind w:left="-81"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B90A80" w:rsidRPr="00B90A80" w:rsidRDefault="00B90A80" w:rsidP="00B90A80">
            <w:pPr>
              <w:ind w:left="-81"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B90A80" w:rsidRPr="00B90A80" w:rsidRDefault="00B90A80" w:rsidP="00B90A80">
            <w:pPr>
              <w:ind w:left="-81"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B90A80" w:rsidRPr="00B90A80" w:rsidRDefault="00B90A80" w:rsidP="00B90A80">
            <w:pPr>
              <w:ind w:left="-81"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B47D5B" w:rsidRPr="00286309" w:rsidRDefault="00B90A80" w:rsidP="00B90A80">
            <w:pPr>
              <w:ind w:left="-81" w:firstLine="4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</w:tc>
      </w:tr>
    </w:tbl>
    <w:p w:rsidR="00A67596" w:rsidRDefault="00A67596"/>
    <w:sectPr w:rsidR="00A67596" w:rsidSect="0082306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462A0"/>
    <w:multiLevelType w:val="hybridMultilevel"/>
    <w:tmpl w:val="BFA48D06"/>
    <w:lvl w:ilvl="0" w:tplc="6C96192A">
      <w:start w:val="1"/>
      <w:numFmt w:val="bullet"/>
      <w:lvlText w:val="-"/>
      <w:lvlJc w:val="left"/>
      <w:pPr>
        <w:ind w:left="27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256"/>
    <w:rsid w:val="001154D6"/>
    <w:rsid w:val="00137699"/>
    <w:rsid w:val="00153E77"/>
    <w:rsid w:val="00156B4A"/>
    <w:rsid w:val="0016093E"/>
    <w:rsid w:val="00193784"/>
    <w:rsid w:val="00286309"/>
    <w:rsid w:val="003517EA"/>
    <w:rsid w:val="003E6F8F"/>
    <w:rsid w:val="00411432"/>
    <w:rsid w:val="00453A85"/>
    <w:rsid w:val="006E3FA5"/>
    <w:rsid w:val="00803F9E"/>
    <w:rsid w:val="00823060"/>
    <w:rsid w:val="00833256"/>
    <w:rsid w:val="008522DC"/>
    <w:rsid w:val="0089090F"/>
    <w:rsid w:val="008A73C1"/>
    <w:rsid w:val="00933092"/>
    <w:rsid w:val="00973E75"/>
    <w:rsid w:val="009B56F8"/>
    <w:rsid w:val="009C6376"/>
    <w:rsid w:val="009F29EB"/>
    <w:rsid w:val="00A15971"/>
    <w:rsid w:val="00A67596"/>
    <w:rsid w:val="00AF792C"/>
    <w:rsid w:val="00B022A8"/>
    <w:rsid w:val="00B45C04"/>
    <w:rsid w:val="00B47D5B"/>
    <w:rsid w:val="00B51204"/>
    <w:rsid w:val="00B67F29"/>
    <w:rsid w:val="00B90A80"/>
    <w:rsid w:val="00CF6A32"/>
    <w:rsid w:val="00D568BB"/>
    <w:rsid w:val="00D61FB5"/>
    <w:rsid w:val="00DB2B07"/>
    <w:rsid w:val="00DB54AF"/>
    <w:rsid w:val="00E275B2"/>
    <w:rsid w:val="00E73835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AFE3"/>
  <w15:docId w15:val="{39E5E223-7BC7-4FE6-A94A-A234140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D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Абрамов Дмитрий Юрьевич</cp:lastModifiedBy>
  <cp:revision>33</cp:revision>
  <dcterms:created xsi:type="dcterms:W3CDTF">2011-09-23T07:45:00Z</dcterms:created>
  <dcterms:modified xsi:type="dcterms:W3CDTF">2019-05-23T11:03:00Z</dcterms:modified>
</cp:coreProperties>
</file>