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EA485F" w:rsidRPr="00FC6878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A485F" w:rsidRPr="00667B52" w:rsidRDefault="00682DF0" w:rsidP="003C7D9B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115879" cy="1285630"/>
                  <wp:effectExtent l="0" t="0" r="0" b="0"/>
                  <wp:docPr id="2" name="Рисунок 2" descr="C:\Users\WIN7PRO\Desktop\Каталог 2013\0221  в=240 д=1700 ш=1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221  в=240 д=1700 ш=1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233" cy="128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EA485F" w:rsidRPr="006900DC" w:rsidRDefault="00682DF0" w:rsidP="006F1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Песочница 0221</w:t>
            </w:r>
            <w:bookmarkStart w:id="0" w:name="_GoBack"/>
            <w:bookmarkEnd w:id="0"/>
          </w:p>
          <w:p w:rsidR="00EA485F" w:rsidRDefault="00BC3C8B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не менее: длина – 19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proofErr w:type="gramStart"/>
            <w:r w:rsidR="00EA485F"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F1BC6">
              <w:rPr>
                <w:rFonts w:ascii="Times New Roman" w:hAnsi="Times New Roman"/>
                <w:sz w:val="24"/>
                <w:szCs w:val="24"/>
              </w:rPr>
              <w:t>.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ширина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19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00 мм</w:t>
            </w:r>
            <w:r w:rsidR="006F1BC6">
              <w:rPr>
                <w:rFonts w:ascii="Times New Roman" w:hAnsi="Times New Roman"/>
                <w:sz w:val="24"/>
                <w:szCs w:val="24"/>
              </w:rPr>
              <w:t>.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, высота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D3C">
              <w:rPr>
                <w:rFonts w:ascii="Times New Roman" w:hAnsi="Times New Roman"/>
                <w:sz w:val="24"/>
                <w:szCs w:val="24"/>
              </w:rPr>
              <w:t>– 2</w:t>
            </w:r>
            <w:r w:rsidR="0017040A">
              <w:rPr>
                <w:rFonts w:ascii="Times New Roman" w:hAnsi="Times New Roman"/>
                <w:sz w:val="24"/>
                <w:szCs w:val="24"/>
              </w:rPr>
              <w:t>4</w:t>
            </w:r>
            <w:r w:rsidR="008D40FC">
              <w:rPr>
                <w:rFonts w:ascii="Times New Roman" w:hAnsi="Times New Roman"/>
                <w:sz w:val="24"/>
                <w:szCs w:val="24"/>
              </w:rPr>
              <w:t>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F1BC6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Песочница выполнена в форме шестигранника,</w:t>
            </w:r>
            <w:r w:rsidR="00682DF0">
              <w:rPr>
                <w:rFonts w:ascii="Times New Roman" w:hAnsi="Times New Roman"/>
                <w:sz w:val="24"/>
                <w:szCs w:val="24"/>
              </w:rPr>
              <w:t xml:space="preserve"> и должна иметь закругленные формы столиков, по внешней стороне песочницы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предназначена для детей дошкольного возраста.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BC6" w:rsidRDefault="006F1BC6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Основание песочницы изготовлено из клееного бруса сечением не менее 100*100 мм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A485F" w:rsidRPr="00FC6878" w:rsidRDefault="00682DF0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Столики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должны быть изготовлены из 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березовой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влагостойкой фанеры</w:t>
            </w:r>
            <w:r w:rsidR="006F1BC6">
              <w:rPr>
                <w:rFonts w:ascii="Times New Roman" w:hAnsi="Times New Roman"/>
                <w:sz w:val="24"/>
                <w:szCs w:val="24"/>
              </w:rPr>
              <w:t>,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толщиной не менее 18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. Боковые части, изготовлены из калиброванного пиломатериала хвойных пород, толщиной не менее 30 мм, 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влажность пиломатериала не более 12%.</w:t>
            </w:r>
          </w:p>
          <w:p w:rsidR="00EA485F" w:rsidRPr="00FC6878" w:rsidRDefault="00EA485F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Фанера и дерево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6F1BC6" w:rsidRPr="006F1BC6" w:rsidRDefault="006F1BC6" w:rsidP="006F1BC6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F550CC" w:rsidRPr="008D25C8" w:rsidRDefault="00F550CC" w:rsidP="00F550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F1BC6" w:rsidRPr="006F1BC6" w:rsidRDefault="006F1BC6" w:rsidP="009C0D3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>красками,  стойкими</w:t>
            </w:r>
            <w:proofErr w:type="gramEnd"/>
            <w:r w:rsidRPr="006F1BC6">
              <w:rPr>
                <w:rFonts w:ascii="Times New Roman" w:eastAsiaTheme="minorHAnsi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закрываться пластиковыми заглушками</w:t>
            </w:r>
            <w:r w:rsidR="00F550C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F1BC6" w:rsidRPr="00F550CC" w:rsidRDefault="009C0D3C" w:rsidP="009C0D3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Обязательно наличие закладных деталей для монтажа,</w:t>
            </w:r>
            <w:r w:rsidR="00F55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изготовленных</w:t>
            </w:r>
            <w:r w:rsidRPr="009C0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 w:rsidR="008D40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33,5 </w:t>
            </w:r>
            <w:proofErr w:type="gramStart"/>
            <w:r w:rsidRPr="009C0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мм.,</w:t>
            </w:r>
            <w:proofErr w:type="gramEnd"/>
            <w:r w:rsidRPr="009C0D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сталь листовая, толщиной не менее 3 мм.</w:t>
            </w:r>
          </w:p>
        </w:tc>
      </w:tr>
    </w:tbl>
    <w:p w:rsidR="00927E16" w:rsidRDefault="00927E16"/>
    <w:sectPr w:rsidR="00927E16" w:rsidSect="008E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F"/>
    <w:rsid w:val="00040891"/>
    <w:rsid w:val="0017040A"/>
    <w:rsid w:val="002E75D2"/>
    <w:rsid w:val="003561AF"/>
    <w:rsid w:val="00682DF0"/>
    <w:rsid w:val="006900DC"/>
    <w:rsid w:val="006F1BC6"/>
    <w:rsid w:val="008D40FC"/>
    <w:rsid w:val="008E3B65"/>
    <w:rsid w:val="00927E16"/>
    <w:rsid w:val="009C0D3C"/>
    <w:rsid w:val="00B743FF"/>
    <w:rsid w:val="00BC3C8B"/>
    <w:rsid w:val="00EA485F"/>
    <w:rsid w:val="00F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9CE7F-B726-4F00-955D-866FD119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2017-06-08T09:01:00Z</dcterms:created>
  <dcterms:modified xsi:type="dcterms:W3CDTF">2018-03-22T08:55:00Z</dcterms:modified>
</cp:coreProperties>
</file>