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8788"/>
      </w:tblGrid>
      <w:tr w:rsidR="00031960" w:rsidTr="00FE6711">
        <w:trPr>
          <w:trHeight w:val="1124"/>
        </w:trPr>
        <w:tc>
          <w:tcPr>
            <w:tcW w:w="4928" w:type="dxa"/>
            <w:vAlign w:val="center"/>
          </w:tcPr>
          <w:p w:rsidR="00031960" w:rsidRDefault="00DD3D9F" w:rsidP="000319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78100" cy="1933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02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031960" w:rsidRPr="00DD3D9F" w:rsidRDefault="00031960" w:rsidP="009722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854EC0">
              <w:rPr>
                <w:rFonts w:ascii="Times New Roman" w:hAnsi="Times New Roman" w:cs="Times New Roman"/>
                <w:b/>
              </w:rPr>
              <w:t>0502</w:t>
            </w:r>
            <w:r w:rsidR="002843C9">
              <w:rPr>
                <w:rFonts w:ascii="Times New Roman" w:hAnsi="Times New Roman" w:cs="Times New Roman"/>
                <w:b/>
              </w:rPr>
              <w:t>/</w:t>
            </w:r>
            <w:r w:rsidR="00DD3D9F">
              <w:rPr>
                <w:rFonts w:ascii="Times New Roman" w:hAnsi="Times New Roman" w:cs="Times New Roman"/>
                <w:b/>
              </w:rPr>
              <w:t>1</w:t>
            </w:r>
          </w:p>
          <w:p w:rsidR="00031960" w:rsidRPr="00D4442F" w:rsidRDefault="0003196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854EC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предназначена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в возрасте от 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3D9F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r w:rsidR="00B254C9">
              <w:rPr>
                <w:rFonts w:ascii="Times New Roman" w:eastAsia="Calibri" w:hAnsi="Times New Roman" w:cs="Times New Roman"/>
                <w:sz w:val="24"/>
                <w:szCs w:val="24"/>
              </w:rPr>
              <w:t>, и имеет не менее двух подвесов на цеп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5E73" w:rsidRPr="00D4442F" w:rsidRDefault="00055E73" w:rsidP="000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Стойки качели изготовлены из металлической трубы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части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накладки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 треугольника из водостойкой фанеры толщиной 9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с размерами не менее: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E73" w:rsidRDefault="0097227C" w:rsidP="00FD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r w:rsidR="00FD5CE2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изготовленной из металлической трубы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мм, между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 xml:space="preserve">подвесами 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, для придания прочности конструкции,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вертикальная стойка, изготовленная из </w:t>
            </w:r>
            <w:r w:rsidR="00854EC0" w:rsidRPr="00D4442F">
              <w:rPr>
                <w:rFonts w:ascii="Times New Roman" w:hAnsi="Times New Roman" w:cs="Times New Roman"/>
                <w:sz w:val="24"/>
                <w:szCs w:val="24"/>
              </w:rPr>
              <w:t>металлической трубы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5E73" w:rsidRDefault="00055E73" w:rsidP="00FD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283">
              <w:rPr>
                <w:rFonts w:ascii="Times New Roman" w:hAnsi="Times New Roman" w:cs="Times New Roman"/>
                <w:sz w:val="24"/>
                <w:szCs w:val="24"/>
              </w:rPr>
              <w:t>иденье-колыбель должна иметь огражде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удерживающее тело ребенка, 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покрыто термоэластопластом. Имеет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высота – 240 мм.</w:t>
            </w:r>
          </w:p>
          <w:p w:rsidR="00FD5CE2" w:rsidRPr="00583761" w:rsidRDefault="00FD5CE2" w:rsidP="00FD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Сиденье крепиться  к балке оцинкованной цепью.</w:t>
            </w:r>
          </w:p>
          <w:p w:rsidR="00FE6711" w:rsidRPr="00FE6711" w:rsidRDefault="00424FCC" w:rsidP="00FE6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5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24FCC" w:rsidRDefault="00FE6711" w:rsidP="00424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424FCC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424FC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424FC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  <w:r w:rsidR="0005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E7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5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репеж оцинкован</w:t>
            </w:r>
            <w:r w:rsidR="00055E73"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7227C" w:rsidRDefault="0097227C" w:rsidP="00087AF1"/>
        </w:tc>
      </w:tr>
    </w:tbl>
    <w:p w:rsidR="00C774AF" w:rsidRDefault="00C774AF"/>
    <w:sectPr w:rsidR="00C774AF" w:rsidSect="00FE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055E73"/>
    <w:rsid w:val="00087AF1"/>
    <w:rsid w:val="000C7B4D"/>
    <w:rsid w:val="001916CB"/>
    <w:rsid w:val="00223852"/>
    <w:rsid w:val="002451C2"/>
    <w:rsid w:val="002843C9"/>
    <w:rsid w:val="00303E3E"/>
    <w:rsid w:val="003F2254"/>
    <w:rsid w:val="00424FCC"/>
    <w:rsid w:val="004E58B0"/>
    <w:rsid w:val="005064CB"/>
    <w:rsid w:val="00555C3B"/>
    <w:rsid w:val="00854EC0"/>
    <w:rsid w:val="009265CB"/>
    <w:rsid w:val="00951DD2"/>
    <w:rsid w:val="0097227C"/>
    <w:rsid w:val="00A3155A"/>
    <w:rsid w:val="00A70217"/>
    <w:rsid w:val="00AA4E9A"/>
    <w:rsid w:val="00B14724"/>
    <w:rsid w:val="00B254C9"/>
    <w:rsid w:val="00C232E6"/>
    <w:rsid w:val="00C774AF"/>
    <w:rsid w:val="00D4442F"/>
    <w:rsid w:val="00DD3D9F"/>
    <w:rsid w:val="00E20C3D"/>
    <w:rsid w:val="00FD5CE2"/>
    <w:rsid w:val="00FD5CE6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7</cp:revision>
  <dcterms:created xsi:type="dcterms:W3CDTF">2018-03-19T08:21:00Z</dcterms:created>
  <dcterms:modified xsi:type="dcterms:W3CDTF">2019-05-15T03:14:00Z</dcterms:modified>
</cp:coreProperties>
</file>