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75450B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3F0E9F47" w:rsidR="00F77076" w:rsidRPr="002A7D7E" w:rsidRDefault="00D94B70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36DEE7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207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097EFBDA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  <w:r w:rsidR="00B303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78010920" w14:textId="019AC193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3140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24BBCD03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двух башен из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r w:rsidR="001E3B8E">
              <w:rPr>
                <w:rFonts w:ascii="Times New Roman" w:hAnsi="Times New Roman"/>
                <w:sz w:val="24"/>
                <w:szCs w:val="24"/>
              </w:rPr>
              <w:t>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закрытой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D231A4">
              <w:rPr>
                <w:rFonts w:ascii="Times New Roman" w:hAnsi="Times New Roman"/>
                <w:sz w:val="24"/>
                <w:szCs w:val="24"/>
              </w:rPr>
              <w:t>, канатного лаза</w:t>
            </w:r>
            <w:r w:rsidR="009A763A">
              <w:rPr>
                <w:rFonts w:ascii="Times New Roman" w:hAnsi="Times New Roman"/>
                <w:sz w:val="24"/>
                <w:szCs w:val="24"/>
              </w:rPr>
              <w:t>, канатного настила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канатной сетки</w:t>
            </w:r>
            <w:r w:rsidR="00296CB4">
              <w:rPr>
                <w:rFonts w:ascii="Times New Roman" w:hAnsi="Times New Roman"/>
                <w:sz w:val="24"/>
                <w:szCs w:val="24"/>
              </w:rPr>
              <w:t xml:space="preserve"> и канатного моста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0A6207FE" w14:textId="77777777" w:rsidR="005E6E59" w:rsidRDefault="00BD2947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CB947" w14:textId="0A54E6EE" w:rsidR="00255314" w:rsidRDefault="00255314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Настил малой башни выполнен из ламинированной березовой фанеры толщиной не менее 18 мм.</w:t>
            </w:r>
          </w:p>
          <w:p w14:paraId="67FF6009" w14:textId="6DD94442" w:rsidR="00EF3170" w:rsidRDefault="009A763A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Канатный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настил</w:t>
            </w:r>
            <w:r w:rsidR="00610D1C">
              <w:rPr>
                <w:rFonts w:ascii="Times New Roman" w:hAnsi="Times New Roman"/>
                <w:sz w:val="24"/>
                <w:szCs w:val="24"/>
              </w:rPr>
              <w:t>, канатная сетка и канатный подъем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A78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610D1C">
              <w:rPr>
                <w:rFonts w:ascii="Times New Roman" w:hAnsi="Times New Roman"/>
                <w:sz w:val="24"/>
                <w:szCs w:val="24"/>
              </w:rPr>
              <w:t>ы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EF3170" w:rsidRPr="0072023D">
              <w:rPr>
                <w:sz w:val="24"/>
                <w:szCs w:val="24"/>
              </w:rPr>
              <w:t xml:space="preserve">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EF31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40CA9" w14:textId="5A1B112F" w:rsidR="00037CEF" w:rsidRDefault="001C1CC9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7A3203">
              <w:rPr>
                <w:rFonts w:ascii="Times New Roman" w:hAnsi="Times New Roman"/>
                <w:sz w:val="24"/>
                <w:szCs w:val="24"/>
              </w:rPr>
              <w:t xml:space="preserve"> у первой башни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3A">
              <w:rPr>
                <w:rFonts w:ascii="Times New Roman" w:hAnsi="Times New Roman"/>
                <w:sz w:val="24"/>
                <w:szCs w:val="24"/>
              </w:rPr>
              <w:t>5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7A3203">
              <w:rPr>
                <w:rFonts w:ascii="Times New Roman" w:hAnsi="Times New Roman"/>
                <w:sz w:val="24"/>
                <w:szCs w:val="24"/>
              </w:rPr>
              <w:t>, у второй – 3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386A3" w14:textId="360F2534" w:rsidR="00EB2D66" w:rsidRDefault="00EB2D66" w:rsidP="00EB2D6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Ограждения выполнены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 и стального листа 4 мм с металлической трубой сечением 40х20 мм, креп</w:t>
            </w:r>
            <w:r w:rsidR="00C6587B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хомутами к металлическому каркасу. </w:t>
            </w:r>
          </w:p>
          <w:p w14:paraId="6C501644" w14:textId="41BAF238" w:rsidR="00375608" w:rsidRPr="00013ADB" w:rsidRDefault="00375608" w:rsidP="0037560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Тоннельная горка.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ската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горки не менее </w:t>
            </w:r>
            <w:r w:rsidR="004A26BB" w:rsidRPr="004A26BB"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диаметр тоннеля не менее 800. Горка состоит из цилиндрических секций,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стартового участка,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конечного участка, соединенных между собой хомутами.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Опорные стойки горки изготовлены из металлической трубы, диаметром не менее 76 мм. Горка должна иметь защитное ограждение в виде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2446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закрепленной на вертикальных стойках, изготовленных из металлической трубы диаметром не менее 76 мм.</w:t>
            </w:r>
          </w:p>
          <w:p w14:paraId="21E97EBD" w14:textId="1F3BFCC5" w:rsidR="00D4699F" w:rsidRDefault="00D4699F" w:rsidP="00D4699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Открытая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5D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D85D24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5D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5D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BE9DA2" w14:textId="32BD265E" w:rsidR="00DC73B9" w:rsidRDefault="00DC73B9" w:rsidP="00DC73B9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Канатный мост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ламинированной березовой фанеры толщиной 18 мм и 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93A484" w14:textId="77777777" w:rsidR="00826212" w:rsidRDefault="00826212" w:rsidP="00826212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14A8569A" w:rsidR="00E21ED0" w:rsidRPr="00B25D53" w:rsidRDefault="003F50B3" w:rsidP="0082621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035C6"/>
    <w:rsid w:val="00037CEF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214D"/>
    <w:rsid w:val="001C7F82"/>
    <w:rsid w:val="001E3B8E"/>
    <w:rsid w:val="0020069E"/>
    <w:rsid w:val="00255314"/>
    <w:rsid w:val="00276DFE"/>
    <w:rsid w:val="002801A0"/>
    <w:rsid w:val="0029357A"/>
    <w:rsid w:val="0029572C"/>
    <w:rsid w:val="00296CB4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718B6"/>
    <w:rsid w:val="00375608"/>
    <w:rsid w:val="00380D9F"/>
    <w:rsid w:val="003860BC"/>
    <w:rsid w:val="003878E2"/>
    <w:rsid w:val="00395B6F"/>
    <w:rsid w:val="003D0D5B"/>
    <w:rsid w:val="003F3D80"/>
    <w:rsid w:val="003F50B3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A26BB"/>
    <w:rsid w:val="004B37D5"/>
    <w:rsid w:val="004E0901"/>
    <w:rsid w:val="004F6F0E"/>
    <w:rsid w:val="00520261"/>
    <w:rsid w:val="0052235A"/>
    <w:rsid w:val="00530282"/>
    <w:rsid w:val="00535100"/>
    <w:rsid w:val="005427E6"/>
    <w:rsid w:val="005432D4"/>
    <w:rsid w:val="00585530"/>
    <w:rsid w:val="005B162E"/>
    <w:rsid w:val="005C4314"/>
    <w:rsid w:val="005C60DA"/>
    <w:rsid w:val="005D0504"/>
    <w:rsid w:val="005E3C13"/>
    <w:rsid w:val="005E6E59"/>
    <w:rsid w:val="00606F65"/>
    <w:rsid w:val="00610D1C"/>
    <w:rsid w:val="006120DA"/>
    <w:rsid w:val="006246EE"/>
    <w:rsid w:val="006308CC"/>
    <w:rsid w:val="0064327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A3203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018DA"/>
    <w:rsid w:val="0081448F"/>
    <w:rsid w:val="00817F46"/>
    <w:rsid w:val="00826212"/>
    <w:rsid w:val="00837875"/>
    <w:rsid w:val="0084057B"/>
    <w:rsid w:val="0084164E"/>
    <w:rsid w:val="00856D29"/>
    <w:rsid w:val="0087299F"/>
    <w:rsid w:val="00887353"/>
    <w:rsid w:val="008D7255"/>
    <w:rsid w:val="008E3A5E"/>
    <w:rsid w:val="00904FC3"/>
    <w:rsid w:val="00906C1C"/>
    <w:rsid w:val="0091380E"/>
    <w:rsid w:val="00922688"/>
    <w:rsid w:val="009325F3"/>
    <w:rsid w:val="00936486"/>
    <w:rsid w:val="009A763A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303E4"/>
    <w:rsid w:val="00B40BF0"/>
    <w:rsid w:val="00B71098"/>
    <w:rsid w:val="00B7738C"/>
    <w:rsid w:val="00BA4B5B"/>
    <w:rsid w:val="00BD2947"/>
    <w:rsid w:val="00BE6F2F"/>
    <w:rsid w:val="00C12F2B"/>
    <w:rsid w:val="00C149C1"/>
    <w:rsid w:val="00C25140"/>
    <w:rsid w:val="00C26C88"/>
    <w:rsid w:val="00C37C6C"/>
    <w:rsid w:val="00C47360"/>
    <w:rsid w:val="00C55EBA"/>
    <w:rsid w:val="00C6587B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31A4"/>
    <w:rsid w:val="00D272C8"/>
    <w:rsid w:val="00D27EFE"/>
    <w:rsid w:val="00D403C1"/>
    <w:rsid w:val="00D448AF"/>
    <w:rsid w:val="00D4699F"/>
    <w:rsid w:val="00D73422"/>
    <w:rsid w:val="00D8015C"/>
    <w:rsid w:val="00D8368B"/>
    <w:rsid w:val="00D85D24"/>
    <w:rsid w:val="00D92B56"/>
    <w:rsid w:val="00D94B70"/>
    <w:rsid w:val="00DA33C9"/>
    <w:rsid w:val="00DA6040"/>
    <w:rsid w:val="00DC73B9"/>
    <w:rsid w:val="00DF50D2"/>
    <w:rsid w:val="00E04144"/>
    <w:rsid w:val="00E21ED0"/>
    <w:rsid w:val="00E237BD"/>
    <w:rsid w:val="00E26AF2"/>
    <w:rsid w:val="00E613F1"/>
    <w:rsid w:val="00E7694F"/>
    <w:rsid w:val="00E93A2E"/>
    <w:rsid w:val="00EB2D66"/>
    <w:rsid w:val="00EC5DE1"/>
    <w:rsid w:val="00EF3170"/>
    <w:rsid w:val="00F12574"/>
    <w:rsid w:val="00F168AF"/>
    <w:rsid w:val="00F26A78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1D48-DC88-4F29-BC5D-37A4C3BC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75</cp:revision>
  <dcterms:created xsi:type="dcterms:W3CDTF">2024-12-04T02:27:00Z</dcterms:created>
  <dcterms:modified xsi:type="dcterms:W3CDTF">2026-02-12T01:16:00Z</dcterms:modified>
</cp:coreProperties>
</file>